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5FF68945"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C32C38">
        <w:rPr>
          <w:rFonts w:cs="Arial"/>
          <w:sz w:val="24"/>
          <w:szCs w:val="24"/>
        </w:rPr>
        <w:t>4</w:t>
      </w:r>
      <w:r w:rsidR="00F92B78">
        <w:rPr>
          <w:rFonts w:cs="Arial"/>
          <w:sz w:val="24"/>
          <w:szCs w:val="24"/>
        </w:rPr>
        <w:t>bis</w:t>
      </w:r>
      <w:r w:rsidRPr="00207615">
        <w:rPr>
          <w:rFonts w:cs="Arial"/>
          <w:sz w:val="24"/>
          <w:szCs w:val="24"/>
        </w:rPr>
        <w:tab/>
      </w:r>
      <w:r w:rsidR="00AF1D8D" w:rsidRPr="00AF1D8D">
        <w:rPr>
          <w:rFonts w:cs="Arial"/>
          <w:color w:val="000000"/>
          <w:sz w:val="24"/>
          <w:szCs w:val="24"/>
          <w:lang w:val="en-GB"/>
        </w:rPr>
        <w:t>R4-250</w:t>
      </w:r>
      <w:r w:rsidR="00552E9B">
        <w:rPr>
          <w:rFonts w:cs="Arial"/>
          <w:color w:val="000000"/>
          <w:sz w:val="24"/>
          <w:szCs w:val="24"/>
          <w:lang w:val="en-GB"/>
        </w:rPr>
        <w:t>4606</w:t>
      </w:r>
    </w:p>
    <w:p w14:paraId="11E40FD2" w14:textId="648C6803" w:rsidR="00070561" w:rsidRPr="008C4D7E" w:rsidRDefault="00C23BEE" w:rsidP="00360F01">
      <w:pPr>
        <w:pStyle w:val="Header"/>
        <w:rPr>
          <w:noProof w:val="0"/>
          <w:lang w:val="en-GB"/>
        </w:rPr>
      </w:pPr>
      <w:r w:rsidRPr="00C23BEE">
        <w:rPr>
          <w:rFonts w:eastAsia="SimSun"/>
          <w:sz w:val="24"/>
          <w:szCs w:val="24"/>
          <w:lang w:val="en-GB" w:eastAsia="zh-CN"/>
        </w:rPr>
        <w:t>Wuhan, Hubei, China, 07</w:t>
      </w:r>
      <w:r w:rsidRPr="00C23BEE">
        <w:rPr>
          <w:rFonts w:eastAsia="SimSun"/>
          <w:sz w:val="24"/>
          <w:szCs w:val="24"/>
          <w:vertAlign w:val="superscript"/>
          <w:lang w:val="en-GB" w:eastAsia="zh-CN"/>
        </w:rPr>
        <w:t>th</w:t>
      </w:r>
      <w:r w:rsidRPr="00C23BEE">
        <w:rPr>
          <w:rFonts w:eastAsia="SimSun"/>
          <w:sz w:val="24"/>
          <w:szCs w:val="24"/>
          <w:lang w:val="en-GB" w:eastAsia="zh-CN"/>
        </w:rPr>
        <w:t xml:space="preserve"> – 11</w:t>
      </w:r>
      <w:r w:rsidRPr="00C23BEE">
        <w:rPr>
          <w:rFonts w:eastAsia="SimSun"/>
          <w:sz w:val="24"/>
          <w:szCs w:val="24"/>
          <w:vertAlign w:val="superscript"/>
          <w:lang w:val="en-GB" w:eastAsia="zh-CN"/>
        </w:rPr>
        <w:t>th</w:t>
      </w:r>
      <w:r w:rsidRPr="00C23BEE">
        <w:rPr>
          <w:rFonts w:eastAsia="SimSun"/>
          <w:sz w:val="24"/>
          <w:szCs w:val="24"/>
          <w:lang w:val="en-GB" w:eastAsia="zh-CN"/>
        </w:rPr>
        <w:t xml:space="preserve"> April, 2025</w:t>
      </w:r>
    </w:p>
    <w:p w14:paraId="753F9938" w14:textId="106E5785" w:rsidR="00070561" w:rsidRDefault="00070561" w:rsidP="00360F01">
      <w:pPr>
        <w:pStyle w:val="Footer"/>
        <w:jc w:val="left"/>
        <w:rPr>
          <w:noProof w:val="0"/>
        </w:rPr>
      </w:pPr>
    </w:p>
    <w:p w14:paraId="6138064B" w14:textId="79BA1EF6"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E5617A">
        <w:rPr>
          <w:rFonts w:ascii="Arial" w:hAnsi="Arial"/>
          <w:sz w:val="24"/>
          <w:lang w:val="en-US"/>
        </w:rPr>
        <w:t>2</w:t>
      </w:r>
      <w:r w:rsidR="00C32C38">
        <w:rPr>
          <w:rFonts w:ascii="Arial" w:hAnsi="Arial"/>
          <w:sz w:val="24"/>
          <w:lang w:val="en-US"/>
        </w:rPr>
        <w:t>8</w:t>
      </w:r>
      <w:r w:rsidR="00BC1D67">
        <w:rPr>
          <w:rFonts w:ascii="Arial" w:hAnsi="Arial"/>
          <w:sz w:val="24"/>
          <w:lang w:val="en-US"/>
        </w:rPr>
        <w:t>.</w:t>
      </w:r>
      <w:r w:rsidR="00E5617A">
        <w:rPr>
          <w:rFonts w:ascii="Arial" w:hAnsi="Arial"/>
          <w:sz w:val="24"/>
          <w:lang w:val="en-US"/>
        </w:rPr>
        <w:t>2</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CEC297B"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requirements for </w:t>
      </w:r>
      <w:r w:rsidR="00C7448E">
        <w:rPr>
          <w:rFonts w:ascii="Arial" w:hAnsi="Arial"/>
          <w:sz w:val="24"/>
          <w:lang w:val="en-US"/>
        </w:rPr>
        <w:t>XR enhancements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219F146A" w14:textId="6F008CC3" w:rsidR="00A11CA3" w:rsidRDefault="008450CF" w:rsidP="00ED62BC">
      <w:pPr>
        <w:rPr>
          <w:lang w:eastAsia="ja-JP"/>
        </w:rPr>
      </w:pPr>
      <w:r>
        <w:t xml:space="preserve">RAN4 achieved multiple agreements over the last few meetings </w:t>
      </w:r>
      <w:r w:rsidR="00D00579">
        <w:t xml:space="preserve">on DCI based MG cancellation mechanism introduced by RAN1. </w:t>
      </w:r>
      <w:r w:rsidR="00A11CA3">
        <w:rPr>
          <w:lang w:eastAsia="ja-JP"/>
        </w:rPr>
        <w:t xml:space="preserve">In this contribution paper, we </w:t>
      </w:r>
      <w:r w:rsidR="00D00579">
        <w:rPr>
          <w:lang w:eastAsia="ja-JP"/>
        </w:rPr>
        <w:t>further discuss the remaining issues</w:t>
      </w:r>
      <w:r w:rsidR="006E1F83">
        <w:rPr>
          <w:lang w:eastAsia="ja-JP"/>
        </w:rPr>
        <w:t xml:space="preserve"> identified in the WF [1] from the last meeting</w:t>
      </w:r>
      <w:r w:rsidR="00CD1528">
        <w:rPr>
          <w:lang w:eastAsia="ja-JP"/>
        </w:rPr>
        <w:t xml:space="preserve">. </w:t>
      </w:r>
    </w:p>
    <w:p w14:paraId="246B5C51" w14:textId="758F20D3" w:rsidR="00FB56A4" w:rsidRDefault="00B66FFD" w:rsidP="00360F01">
      <w:pPr>
        <w:pStyle w:val="Heading1"/>
        <w:rPr>
          <w:lang w:eastAsia="zh-CN"/>
        </w:rPr>
      </w:pPr>
      <w:r>
        <w:t xml:space="preserve">Impact on </w:t>
      </w:r>
      <w:r w:rsidR="008D2762" w:rsidRPr="00CB7E21">
        <w:t xml:space="preserve">RRM </w:t>
      </w:r>
      <w:r w:rsidR="00597EAA">
        <w:t xml:space="preserve">requirements </w:t>
      </w:r>
      <w:r>
        <w:t>due to MG deactivation</w:t>
      </w:r>
    </w:p>
    <w:p w14:paraId="68E7DC31" w14:textId="79F713DC" w:rsidR="002F0FF8" w:rsidRDefault="009E02BE" w:rsidP="00426F27">
      <w:pPr>
        <w:rPr>
          <w:bCs/>
          <w:color w:val="000000" w:themeColor="text1"/>
        </w:rPr>
      </w:pPr>
      <w:r>
        <w:rPr>
          <w:bCs/>
          <w:color w:val="000000" w:themeColor="text1"/>
        </w:rPr>
        <w:t>Firstly, a</w:t>
      </w:r>
      <w:r w:rsidR="001C3B54">
        <w:rPr>
          <w:bCs/>
          <w:color w:val="000000" w:themeColor="text1"/>
        </w:rPr>
        <w:t xml:space="preserve">lthough RAN1 has </w:t>
      </w:r>
      <w:r w:rsidR="000B195B">
        <w:rPr>
          <w:bCs/>
          <w:color w:val="000000" w:themeColor="text1"/>
        </w:rPr>
        <w:t>agreed upon the dynamic indication to enable Tx/Rx in particular gaps</w:t>
      </w:r>
      <w:r>
        <w:rPr>
          <w:bCs/>
          <w:color w:val="000000" w:themeColor="text1"/>
        </w:rPr>
        <w:t xml:space="preserve">, </w:t>
      </w:r>
      <w:r w:rsidR="00317292">
        <w:rPr>
          <w:bCs/>
          <w:color w:val="000000" w:themeColor="text1"/>
        </w:rPr>
        <w:t xml:space="preserve">RAN2 may further consider </w:t>
      </w:r>
      <w:r>
        <w:rPr>
          <w:bCs/>
          <w:color w:val="000000" w:themeColor="text1"/>
        </w:rPr>
        <w:t>semi-static</w:t>
      </w:r>
      <w:r w:rsidR="00317292">
        <w:rPr>
          <w:bCs/>
          <w:color w:val="000000" w:themeColor="text1"/>
        </w:rPr>
        <w:t xml:space="preserve"> indication </w:t>
      </w:r>
      <w:r w:rsidR="00042EB4">
        <w:rPr>
          <w:bCs/>
          <w:color w:val="000000" w:themeColor="text1"/>
        </w:rPr>
        <w:t xml:space="preserve">schemes as well, e.g., RRC based </w:t>
      </w:r>
      <w:r w:rsidR="00917A85">
        <w:rPr>
          <w:bCs/>
          <w:color w:val="000000" w:themeColor="text1"/>
        </w:rPr>
        <w:t>MG deactivation pattern</w:t>
      </w:r>
      <w:r w:rsidR="00042EB4">
        <w:rPr>
          <w:bCs/>
          <w:color w:val="000000" w:themeColor="text1"/>
        </w:rPr>
        <w:t xml:space="preserve">. </w:t>
      </w:r>
      <w:r w:rsidR="00D20516">
        <w:rPr>
          <w:bCs/>
          <w:color w:val="000000" w:themeColor="text1"/>
        </w:rPr>
        <w:t xml:space="preserve">We understand that due to unpredictable nature of the XR data, dynamic indication </w:t>
      </w:r>
      <w:r w:rsidR="00CC5482">
        <w:rPr>
          <w:bCs/>
          <w:color w:val="000000" w:themeColor="text1"/>
        </w:rPr>
        <w:t>is better suited from signaling perspective but at the same time, f</w:t>
      </w:r>
      <w:r w:rsidR="00E82B30">
        <w:rPr>
          <w:bCs/>
          <w:color w:val="000000" w:themeColor="text1"/>
        </w:rPr>
        <w:t xml:space="preserve">rom </w:t>
      </w:r>
      <w:r w:rsidR="00444692">
        <w:rPr>
          <w:bCs/>
          <w:color w:val="000000" w:themeColor="text1"/>
        </w:rPr>
        <w:t>UE implementation</w:t>
      </w:r>
      <w:r w:rsidR="00E82B30">
        <w:rPr>
          <w:bCs/>
          <w:color w:val="000000" w:themeColor="text1"/>
        </w:rPr>
        <w:t xml:space="preserve"> perspective, it</w:t>
      </w:r>
      <w:r w:rsidR="00925CC8">
        <w:rPr>
          <w:bCs/>
          <w:color w:val="000000" w:themeColor="text1"/>
        </w:rPr>
        <w:t xml:space="preserve"> may be quite challenging to deactivate a single MG occasion as</w:t>
      </w:r>
      <w:r w:rsidR="008F2FA1">
        <w:rPr>
          <w:bCs/>
          <w:color w:val="000000" w:themeColor="text1"/>
        </w:rPr>
        <w:t xml:space="preserve"> this needs extensive processing on the modem SW and RF procedures</w:t>
      </w:r>
      <w:r w:rsidR="004D61DB">
        <w:rPr>
          <w:bCs/>
          <w:color w:val="000000" w:themeColor="text1"/>
        </w:rPr>
        <w:t xml:space="preserve">. </w:t>
      </w:r>
      <w:r w:rsidR="0040290B">
        <w:rPr>
          <w:bCs/>
          <w:color w:val="000000" w:themeColor="text1"/>
        </w:rPr>
        <w:t xml:space="preserve">RRC/MAC-CE based semi-static </w:t>
      </w:r>
      <w:r w:rsidR="00E940A3">
        <w:rPr>
          <w:bCs/>
          <w:color w:val="000000" w:themeColor="text1"/>
        </w:rPr>
        <w:t xml:space="preserve">indications enables the UE to </w:t>
      </w:r>
      <w:r w:rsidR="00DF0412">
        <w:rPr>
          <w:bCs/>
          <w:color w:val="000000" w:themeColor="text1"/>
        </w:rPr>
        <w:t>handle MG deactivations in a</w:t>
      </w:r>
      <w:r w:rsidR="003D74FF">
        <w:rPr>
          <w:bCs/>
          <w:color w:val="000000" w:themeColor="text1"/>
        </w:rPr>
        <w:t>n efficient manner.</w:t>
      </w:r>
    </w:p>
    <w:p w14:paraId="6FD9AA52" w14:textId="07CDB561" w:rsidR="00777814" w:rsidRPr="00304D24" w:rsidRDefault="002F0FF8" w:rsidP="00426F27">
      <w:pPr>
        <w:rPr>
          <w:b/>
          <w:color w:val="000000" w:themeColor="text1"/>
        </w:rPr>
      </w:pPr>
      <w:r w:rsidRPr="00304D24">
        <w:rPr>
          <w:b/>
          <w:color w:val="000000" w:themeColor="text1"/>
        </w:rPr>
        <w:t xml:space="preserve">Proposal 1: In addition to </w:t>
      </w:r>
      <w:r w:rsidR="007E0EA7" w:rsidRPr="00304D24">
        <w:rPr>
          <w:b/>
          <w:color w:val="000000" w:themeColor="text1"/>
        </w:rPr>
        <w:t>the d</w:t>
      </w:r>
      <w:r w:rsidRPr="00304D24">
        <w:rPr>
          <w:b/>
          <w:color w:val="000000" w:themeColor="text1"/>
        </w:rPr>
        <w:t xml:space="preserve">ynamic indication </w:t>
      </w:r>
      <w:r w:rsidR="00377F64" w:rsidRPr="00304D24">
        <w:rPr>
          <w:b/>
          <w:color w:val="000000" w:themeColor="text1"/>
        </w:rPr>
        <w:t xml:space="preserve">scheme </w:t>
      </w:r>
      <w:r w:rsidRPr="00304D24">
        <w:rPr>
          <w:b/>
          <w:color w:val="000000" w:themeColor="text1"/>
        </w:rPr>
        <w:t>to deacti</w:t>
      </w:r>
      <w:r w:rsidR="007E0EA7" w:rsidRPr="00304D24">
        <w:rPr>
          <w:b/>
          <w:color w:val="000000" w:themeColor="text1"/>
        </w:rPr>
        <w:t>vate MGs</w:t>
      </w:r>
      <w:r w:rsidR="00377F64" w:rsidRPr="00304D24">
        <w:rPr>
          <w:b/>
          <w:color w:val="000000" w:themeColor="text1"/>
        </w:rPr>
        <w:t xml:space="preserve"> as agreed by RAN1, </w:t>
      </w:r>
      <w:r w:rsidR="002B3186" w:rsidRPr="00304D24">
        <w:rPr>
          <w:b/>
          <w:color w:val="000000" w:themeColor="text1"/>
        </w:rPr>
        <w:t xml:space="preserve">support semi-static schemes such as RRC </w:t>
      </w:r>
      <w:r w:rsidR="00917A85">
        <w:rPr>
          <w:b/>
          <w:color w:val="000000" w:themeColor="text1"/>
        </w:rPr>
        <w:t>or</w:t>
      </w:r>
      <w:r w:rsidR="002B3186" w:rsidRPr="00304D24">
        <w:rPr>
          <w:b/>
          <w:color w:val="000000" w:themeColor="text1"/>
        </w:rPr>
        <w:t xml:space="preserve"> MAC-CE based signaling</w:t>
      </w:r>
      <w:r w:rsidR="00380915" w:rsidRPr="00304D24">
        <w:rPr>
          <w:b/>
          <w:color w:val="000000" w:themeColor="text1"/>
        </w:rPr>
        <w:t xml:space="preserve"> as well.</w:t>
      </w:r>
    </w:p>
    <w:p w14:paraId="3132AD4B" w14:textId="2EEC65F5" w:rsidR="00EC0786" w:rsidRDefault="00AB4DD4" w:rsidP="0005729F">
      <w:r>
        <w:rPr>
          <w:noProof/>
        </w:rPr>
        <mc:AlternateContent>
          <mc:Choice Requires="wps">
            <w:drawing>
              <wp:anchor distT="45720" distB="45720" distL="114300" distR="114300" simplePos="0" relativeHeight="251659264" behindDoc="0" locked="0" layoutInCell="1" allowOverlap="1" wp14:anchorId="2CE7BD38" wp14:editId="3E1026CB">
                <wp:simplePos x="0" y="0"/>
                <wp:positionH relativeFrom="page">
                  <wp:align>center</wp:align>
                </wp:positionH>
                <wp:positionV relativeFrom="paragraph">
                  <wp:posOffset>625475</wp:posOffset>
                </wp:positionV>
                <wp:extent cx="5549900" cy="1404620"/>
                <wp:effectExtent l="0" t="0" r="127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900" cy="1404620"/>
                        </a:xfrm>
                        <a:prstGeom prst="rect">
                          <a:avLst/>
                        </a:prstGeom>
                        <a:solidFill>
                          <a:srgbClr val="FFFFFF"/>
                        </a:solidFill>
                        <a:ln w="9525">
                          <a:solidFill>
                            <a:srgbClr val="000000"/>
                          </a:solidFill>
                          <a:miter lim="800000"/>
                          <a:headEnd/>
                          <a:tailEnd/>
                        </a:ln>
                      </wps:spPr>
                      <wps:txbx>
                        <w:txbxContent>
                          <w:p w14:paraId="0AE3CDC4" w14:textId="77777777" w:rsidR="00CC4460" w:rsidRPr="00CC4460" w:rsidRDefault="00CC4460" w:rsidP="00CC4460">
                            <w:pPr>
                              <w:rPr>
                                <w:lang w:val="en-US"/>
                              </w:rPr>
                            </w:pPr>
                            <w:r w:rsidRPr="00CC4460">
                              <w:t>A component of an FG can have Option 1 as a first value and Option 2 as a second value:</w:t>
                            </w:r>
                          </w:p>
                          <w:p w14:paraId="60599AE3" w14:textId="77777777" w:rsidR="00CC4460" w:rsidRPr="00CC4460" w:rsidRDefault="00CC4460" w:rsidP="00CC4460">
                            <w:pPr>
                              <w:numPr>
                                <w:ilvl w:val="0"/>
                                <w:numId w:val="28"/>
                              </w:numPr>
                              <w:rPr>
                                <w:lang w:val="en-US"/>
                              </w:rPr>
                            </w:pPr>
                            <w:r w:rsidRPr="00CC4460">
                              <w:rPr>
                                <w:lang w:val="en-US"/>
                              </w:rPr>
                              <w:t>Option 1: For explicit indication by DCI, bit value equal to “0” means UE ignores the indication of this field in the DCI.</w:t>
                            </w:r>
                          </w:p>
                          <w:p w14:paraId="6897E9A1" w14:textId="77777777" w:rsidR="00CC4460" w:rsidRPr="00CC4460" w:rsidRDefault="00CC4460" w:rsidP="00CC4460">
                            <w:pPr>
                              <w:numPr>
                                <w:ilvl w:val="0"/>
                                <w:numId w:val="28"/>
                              </w:numPr>
                              <w:rPr>
                                <w:lang w:val="en-US"/>
                              </w:rPr>
                            </w:pPr>
                            <w:r w:rsidRPr="00CC4460">
                              <w:rPr>
                                <w:lang w:val="en-US"/>
                              </w:rPr>
                              <w:t>Option 2: For explicit indication by DCI, bit value equal to “0” means UE behaviour for the corresponding gap/restriction occasion is as per legacy behaviour.</w:t>
                            </w:r>
                          </w:p>
                          <w:p w14:paraId="2E20F229" w14:textId="7F7F3E5D" w:rsidR="00CC4460" w:rsidRPr="00CC4460" w:rsidRDefault="00CC4460">
                            <w:pPr>
                              <w:rPr>
                                <w:lang w:val="en-US"/>
                              </w:rPr>
                            </w:pPr>
                            <w:r w:rsidRPr="00CC4460">
                              <w:t>Note: UE indicates only one value of this component.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E7BD38" id="_x0000_t202" coordsize="21600,21600" o:spt="202" path="m,l,21600r21600,l21600,xe">
                <v:stroke joinstyle="miter"/>
                <v:path gradientshapeok="t" o:connecttype="rect"/>
              </v:shapetype>
              <v:shape id="Text Box 2" o:spid="_x0000_s1026" type="#_x0000_t202" style="position:absolute;margin-left:0;margin-top:49.25pt;width:437pt;height:110.6pt;z-index:251659264;visibility:visible;mso-wrap-style:square;mso-width-percent:0;mso-height-percent:200;mso-wrap-distance-left:9pt;mso-wrap-distance-top:3.6pt;mso-wrap-distance-right:9pt;mso-wrap-distance-bottom:3.6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d/EAIAACAEAAAOAAAAZHJzL2Uyb0RvYy54bWysk1Fv0zAQx9+R+A6W32nSKh1r1HQaHUVI&#10;YyANPoDjOI2F4zNnt0n59JzdrqsGvCD8YNm+8993vzsvb8besL1Cr8FWfDrJOVNWQqPttuLfvm7e&#10;XHPmg7CNMGBVxQ/K85vV61fLwZVqBh2YRiEjEevLwVW8C8GVWeZlp3rhJ+CUJWML2ItAW9xmDYqB&#10;1HuTzfL8KhsAG4cglfd0enc08lXSb1slw+e29SowU3GKLaQZ01zHOVstRblF4TotT2GIf4iiF9rS&#10;o2epOxEE26H+TarXEsFDGyYS+gzaVkuVcqBspvmLbB474VTKheB4d8bk/5+sfNg/ui/IwvgORipg&#10;SsK7e5DfPbOw7oTdqltEGDolGnp4GpFlg/Pl6WpE7UsfRerhEzRUZLELkITGFvtIhfJkpE4FOJyh&#10;qzEwSYfzebFY5GSSZJsWeXE1S2XJRPl03aEPHxT0LC4qjlTVJC/29z7EcET55BJf82B0s9HGpA1u&#10;67VBthfUAZs0UgYv3IxlQ8UX89n8SOCvEnkaf5LodaBWNrqv+PXZSZSR23vbpEYLQpvjmkI29gQy&#10;sjtSDGM9kmMEWkNzIKQIx5alL0aLDvAnZwO1a8X9j51AxZn5aKksi2lRxP5Om2L+lhgyvLTUlxZh&#10;JUlVPHB2XK5D+hMJmLul8m10AvscySlWasPE+/RlYp9f7pPX88de/QIAAP//AwBQSwMEFAAGAAgA&#10;AAAhAI29hgvdAAAABwEAAA8AAABkcnMvZG93bnJldi54bWxMj8FuwjAQRO+V+g/WVuoFFYfSQEiz&#10;QS0Sp55I4W7iJYkar1PbQPj7uqf2uDOjmbfFejS9uJDznWWE2TQBQVxb3XGDsP/cPmUgfFCsVW+Z&#10;EG7kYV3e3xUq1/bKO7pUoRGxhH2uENoQhlxKX7dklJ/agTh6J+uMCvF0jdROXWO56eVzkiykUR3H&#10;hVYNtGmp/qrOBmHxXc0nHwc94d1t++5qk+rNPkV8fBjfXkEEGsNfGH7xIzqUkeloz6y96BHiIwFh&#10;laUgopstX6JwRJjPVkuQZSH/85c/AAAA//8DAFBLAQItABQABgAIAAAAIQC2gziS/gAAAOEBAAAT&#10;AAAAAAAAAAAAAAAAAAAAAABbQ29udGVudF9UeXBlc10ueG1sUEsBAi0AFAAGAAgAAAAhADj9If/W&#10;AAAAlAEAAAsAAAAAAAAAAAAAAAAALwEAAF9yZWxzLy5yZWxzUEsBAi0AFAAGAAgAAAAhAH8N138Q&#10;AgAAIAQAAA4AAAAAAAAAAAAAAAAALgIAAGRycy9lMm9Eb2MueG1sUEsBAi0AFAAGAAgAAAAhAI29&#10;hgvdAAAABwEAAA8AAAAAAAAAAAAAAAAAagQAAGRycy9kb3ducmV2LnhtbFBLBQYAAAAABAAEAPMA&#10;AAB0BQAAAAA=&#10;">
                <v:textbox style="mso-fit-shape-to-text:t">
                  <w:txbxContent>
                    <w:p w14:paraId="0AE3CDC4" w14:textId="77777777" w:rsidR="00CC4460" w:rsidRPr="00CC4460" w:rsidRDefault="00CC4460" w:rsidP="00CC4460">
                      <w:pPr>
                        <w:rPr>
                          <w:lang w:val="en-US"/>
                        </w:rPr>
                      </w:pPr>
                      <w:r w:rsidRPr="00CC4460">
                        <w:t>A component of an FG can have Option 1 as a first value and Option 2 as a second value:</w:t>
                      </w:r>
                    </w:p>
                    <w:p w14:paraId="60599AE3" w14:textId="77777777" w:rsidR="00CC4460" w:rsidRPr="00CC4460" w:rsidRDefault="00CC4460" w:rsidP="00CC4460">
                      <w:pPr>
                        <w:numPr>
                          <w:ilvl w:val="0"/>
                          <w:numId w:val="28"/>
                        </w:numPr>
                        <w:rPr>
                          <w:lang w:val="en-US"/>
                        </w:rPr>
                      </w:pPr>
                      <w:r w:rsidRPr="00CC4460">
                        <w:rPr>
                          <w:lang w:val="en-US"/>
                        </w:rPr>
                        <w:t>Option 1: For explicit indication by DCI, bit value equal to “0” means UE ignores the indication of this field in the DCI.</w:t>
                      </w:r>
                    </w:p>
                    <w:p w14:paraId="6897E9A1" w14:textId="77777777" w:rsidR="00CC4460" w:rsidRPr="00CC4460" w:rsidRDefault="00CC4460" w:rsidP="00CC4460">
                      <w:pPr>
                        <w:numPr>
                          <w:ilvl w:val="0"/>
                          <w:numId w:val="28"/>
                        </w:numPr>
                        <w:rPr>
                          <w:lang w:val="en-US"/>
                        </w:rPr>
                      </w:pPr>
                      <w:r w:rsidRPr="00CC4460">
                        <w:rPr>
                          <w:lang w:val="en-US"/>
                        </w:rPr>
                        <w:t>Option 2: For explicit indication by DCI, bit value equal to “0” means UE behaviour for the corresponding gap/restriction occasion is as per legacy behaviour.</w:t>
                      </w:r>
                    </w:p>
                    <w:p w14:paraId="2E20F229" w14:textId="7F7F3E5D" w:rsidR="00CC4460" w:rsidRPr="00CC4460" w:rsidRDefault="00CC4460">
                      <w:pPr>
                        <w:rPr>
                          <w:lang w:val="en-US"/>
                        </w:rPr>
                      </w:pPr>
                      <w:r w:rsidRPr="00CC4460">
                        <w:t>Note: UE indicates only one value of this component.</w:t>
                      </w:r>
                    </w:p>
                  </w:txbxContent>
                </v:textbox>
                <w10:wrap type="square" anchorx="page"/>
              </v:shape>
            </w:pict>
          </mc:Fallback>
        </mc:AlternateContent>
      </w:r>
      <w:r w:rsidR="007C63EC">
        <w:rPr>
          <w:bCs/>
          <w:color w:val="000000" w:themeColor="text1"/>
        </w:rPr>
        <w:t xml:space="preserve">Coming back to the DCI based dynamic indication </w:t>
      </w:r>
      <w:r w:rsidR="00801186">
        <w:rPr>
          <w:bCs/>
          <w:color w:val="000000" w:themeColor="text1"/>
        </w:rPr>
        <w:t xml:space="preserve">of MG deactivation, </w:t>
      </w:r>
      <w:r w:rsidR="00E9586D">
        <w:t xml:space="preserve">RAN4 has agreed to </w:t>
      </w:r>
      <w:r w:rsidR="009D41F1">
        <w:t>X</w:t>
      </w:r>
      <w:r w:rsidR="002C7D41">
        <w:t xml:space="preserve"> </w:t>
      </w:r>
      <w:r w:rsidR="009D41F1">
        <w:t>=</w:t>
      </w:r>
      <w:r w:rsidR="002C7D41">
        <w:t xml:space="preserve"> </w:t>
      </w:r>
      <w:r w:rsidR="009D41F1">
        <w:t>5</w:t>
      </w:r>
      <w:r w:rsidR="002C7D41">
        <w:t xml:space="preserve"> </w:t>
      </w:r>
      <w:r w:rsidR="009D41F1">
        <w:t>ms</w:t>
      </w:r>
      <w:r w:rsidR="00E9586D">
        <w:t xml:space="preserve"> as a baseline value and X = 3ms based on</w:t>
      </w:r>
      <w:r w:rsidR="00440E18">
        <w:t xml:space="preserve"> optional UE capability</w:t>
      </w:r>
      <w:r w:rsidR="009D41F1">
        <w:t>.</w:t>
      </w:r>
      <w:r w:rsidR="00094250">
        <w:t xml:space="preserve"> </w:t>
      </w:r>
      <w:r w:rsidR="00EA4D7E">
        <w:t>Furthermore,</w:t>
      </w:r>
      <w:r w:rsidR="00EC0786">
        <w:t xml:space="preserve"> RAN1 discussed the UE behavior for subsequent DCI for the same measurement gap occasion and made the following agreement:</w:t>
      </w:r>
    </w:p>
    <w:p w14:paraId="5548C0D1" w14:textId="4943C53A" w:rsidR="00CC4460" w:rsidRDefault="00CC4460" w:rsidP="0005729F"/>
    <w:p w14:paraId="786A6259" w14:textId="3403C0D0" w:rsidR="00CC4460" w:rsidRDefault="00AD3875" w:rsidP="0005729F">
      <w:r>
        <w:t xml:space="preserve">For UEs indicating Option 1 above, </w:t>
      </w:r>
      <w:r w:rsidR="00340024">
        <w:t>UE may simply ignore</w:t>
      </w:r>
      <w:r w:rsidR="00B33A78">
        <w:t xml:space="preserve"> </w:t>
      </w:r>
      <w:r w:rsidR="00A21A4C">
        <w:t xml:space="preserve">the </w:t>
      </w:r>
      <w:r w:rsidR="00B33A78">
        <w:t xml:space="preserve">MG cancellation indications in </w:t>
      </w:r>
      <w:r w:rsidR="00A21A4C">
        <w:t xml:space="preserve">all the subsequent </w:t>
      </w:r>
      <w:r w:rsidR="00B33A78">
        <w:t>DCIs for the same</w:t>
      </w:r>
      <w:r w:rsidR="00A21A4C">
        <w:t xml:space="preserve"> MG occasion</w:t>
      </w:r>
      <w:r w:rsidR="00305B52">
        <w:t>. However, for UEs indicating Option 2</w:t>
      </w:r>
      <w:r w:rsidR="006223BE">
        <w:t>, our understanding is that the UE will process and honor the subsequent DCIs</w:t>
      </w:r>
      <w:r w:rsidR="00537C03">
        <w:t xml:space="preserve"> and if indicated ‘0’, the UE will not cancel the MG occasion. This behavior impacts UE implementation as the procedure to cancel the MG occasion may already have started. Furthermore, RAN1 doesn’t talk about the timeline for </w:t>
      </w:r>
      <w:r w:rsidR="00F604E0">
        <w:t>such DCI indicating ‘0’.</w:t>
      </w:r>
      <w:r w:rsidR="000E0E2B">
        <w:t xml:space="preserve"> If this indication is received very close the MG occasion, it may not be possible to </w:t>
      </w:r>
      <w:r w:rsidR="00093F11">
        <w:t>revert the procedure. We think it’s important to e</w:t>
      </w:r>
      <w:r w:rsidR="00094126">
        <w:t>stablish the timeline to honor the subsequent DCI indication in Option 2</w:t>
      </w:r>
      <w:r w:rsidR="001375DD">
        <w:t xml:space="preserve"> and this timeline should be no shorter than X (5ms or </w:t>
      </w:r>
      <w:r w:rsidR="00C106E7">
        <w:t xml:space="preserve">optional </w:t>
      </w:r>
      <w:r w:rsidR="001375DD">
        <w:t>3ms)</w:t>
      </w:r>
      <w:r w:rsidR="00C106E7">
        <w:t>.</w:t>
      </w:r>
    </w:p>
    <w:p w14:paraId="02A8597D" w14:textId="5154F665" w:rsidR="00605505" w:rsidRPr="000A14E4" w:rsidRDefault="00605505" w:rsidP="009D2149">
      <w:pPr>
        <w:rPr>
          <w:b/>
          <w:bCs/>
        </w:rPr>
      </w:pPr>
      <w:r w:rsidRPr="004322DC">
        <w:rPr>
          <w:b/>
          <w:bCs/>
        </w:rPr>
        <w:t xml:space="preserve">Proposal </w:t>
      </w:r>
      <w:r w:rsidR="00440E18">
        <w:rPr>
          <w:b/>
          <w:bCs/>
        </w:rPr>
        <w:t>2</w:t>
      </w:r>
      <w:r w:rsidRPr="004322DC">
        <w:rPr>
          <w:b/>
          <w:bCs/>
        </w:rPr>
        <w:t xml:space="preserve">: </w:t>
      </w:r>
      <w:r w:rsidR="004D5A95">
        <w:rPr>
          <w:b/>
          <w:bCs/>
        </w:rPr>
        <w:t xml:space="preserve">The </w:t>
      </w:r>
      <w:r w:rsidR="00C106E7">
        <w:rPr>
          <w:b/>
          <w:bCs/>
        </w:rPr>
        <w:t>support of Option 2</w:t>
      </w:r>
      <w:r w:rsidR="007C2224">
        <w:rPr>
          <w:b/>
          <w:bCs/>
        </w:rPr>
        <w:t xml:space="preserve"> as agreed by RAN1</w:t>
      </w:r>
      <w:r w:rsidR="004D5A95">
        <w:rPr>
          <w:b/>
          <w:bCs/>
        </w:rPr>
        <w:t xml:space="preserve"> is conditioned upon the arrival of such DCI atleast X ms before the MG occasion, where </w:t>
      </w:r>
      <w:r w:rsidR="004D5A95" w:rsidRPr="000A14E4">
        <w:rPr>
          <w:b/>
          <w:bCs/>
        </w:rPr>
        <w:t>X=5ms as baseline and X=3ms as optional UE capability</w:t>
      </w:r>
      <w:r w:rsidR="00A7781A" w:rsidRPr="000A14E4">
        <w:rPr>
          <w:b/>
          <w:bCs/>
        </w:rPr>
        <w:t>.</w:t>
      </w:r>
    </w:p>
    <w:p w14:paraId="6C74F461" w14:textId="21463CD2" w:rsidR="003023EF" w:rsidRPr="000A14E4" w:rsidRDefault="000A14E4" w:rsidP="003023EF">
      <w:pPr>
        <w:pStyle w:val="ListParagraph"/>
        <w:numPr>
          <w:ilvl w:val="0"/>
          <w:numId w:val="29"/>
        </w:numPr>
        <w:rPr>
          <w:rFonts w:eastAsia="MS Mincho"/>
          <w:b/>
          <w:bCs/>
          <w:sz w:val="20"/>
          <w:szCs w:val="20"/>
          <w:lang w:val="en-GB"/>
        </w:rPr>
      </w:pPr>
      <w:r>
        <w:rPr>
          <w:rFonts w:eastAsia="MS Mincho"/>
          <w:b/>
          <w:bCs/>
          <w:sz w:val="20"/>
          <w:szCs w:val="20"/>
          <w:lang w:val="en-GB"/>
        </w:rPr>
        <w:t xml:space="preserve">[RAN1 agreement] </w:t>
      </w:r>
      <w:r w:rsidR="003023EF" w:rsidRPr="000A14E4">
        <w:rPr>
          <w:rFonts w:eastAsia="MS Mincho"/>
          <w:b/>
          <w:bCs/>
          <w:sz w:val="20"/>
          <w:szCs w:val="20"/>
          <w:lang w:val="en-GB"/>
        </w:rPr>
        <w:t>Option 2: For explicit indication by DCI, bit value equal to “0” means UE behaviour for the corresponding gap/restriction occasion is as per legacy behaviour.</w:t>
      </w:r>
    </w:p>
    <w:p w14:paraId="420148E6" w14:textId="77777777" w:rsidR="00A7781A" w:rsidRPr="004322DC" w:rsidRDefault="00A7781A" w:rsidP="0005729F">
      <w:pPr>
        <w:rPr>
          <w:b/>
          <w:bCs/>
        </w:rPr>
      </w:pPr>
    </w:p>
    <w:p w14:paraId="21475680" w14:textId="4AA74535" w:rsidR="00816760" w:rsidRDefault="00816760" w:rsidP="00426F27">
      <w:r>
        <w:t xml:space="preserve">Since RAN4 agreed that the MG cancellation applies only to L3 measurements and </w:t>
      </w:r>
      <w:r w:rsidR="00790D14">
        <w:t>to f</w:t>
      </w:r>
      <w:r w:rsidR="00790D14" w:rsidRPr="00790D14">
        <w:t>ollow NR-U-like approach for designing the formulas for measurement delay extension</w:t>
      </w:r>
      <w:r w:rsidR="002C21B1">
        <w:t xml:space="preserve">, we now need to </w:t>
      </w:r>
      <w:r w:rsidR="009F576B">
        <w:t>discuss the exact formula to extend the L3 measurement requirements.</w:t>
      </w:r>
      <w:r w:rsidR="001C2C75">
        <w:t xml:space="preserve"> We tend to think that it’s straightforward to use NR-U approach and add the </w:t>
      </w:r>
      <w:r w:rsidR="004E57EF">
        <w:t xml:space="preserve">number of skipped MGs to the </w:t>
      </w:r>
      <w:r w:rsidR="00DE399D">
        <w:t xml:space="preserve">number of SSB samples </w:t>
      </w:r>
      <w:r w:rsidR="00A70802">
        <w:t>for each requirement.</w:t>
      </w:r>
    </w:p>
    <w:p w14:paraId="6A7CC2C4" w14:textId="7C9E3CF6" w:rsidR="0093037C" w:rsidRDefault="0067450C" w:rsidP="00426F27">
      <w:pPr>
        <w:rPr>
          <w:b/>
          <w:color w:val="000000" w:themeColor="text1"/>
        </w:rPr>
      </w:pPr>
      <w:r>
        <w:rPr>
          <w:b/>
          <w:color w:val="000000" w:themeColor="text1"/>
        </w:rPr>
        <w:t xml:space="preserve">Proposal </w:t>
      </w:r>
      <w:r w:rsidR="007E254D">
        <w:rPr>
          <w:b/>
          <w:color w:val="000000" w:themeColor="text1"/>
        </w:rPr>
        <w:t>3</w:t>
      </w:r>
      <w:r>
        <w:rPr>
          <w:b/>
          <w:color w:val="000000" w:themeColor="text1"/>
        </w:rPr>
        <w:t xml:space="preserve">: </w:t>
      </w:r>
      <w:r w:rsidR="00F9227B">
        <w:rPr>
          <w:b/>
          <w:color w:val="000000" w:themeColor="text1"/>
        </w:rPr>
        <w:t xml:space="preserve">For DCI based dynamic indication, </w:t>
      </w:r>
      <w:r>
        <w:rPr>
          <w:b/>
          <w:color w:val="000000" w:themeColor="text1"/>
        </w:rPr>
        <w:t>RAN4 to</w:t>
      </w:r>
      <w:r w:rsidR="00F9227B">
        <w:rPr>
          <w:b/>
          <w:color w:val="000000" w:themeColor="text1"/>
        </w:rPr>
        <w:t xml:space="preserve"> extend t</w:t>
      </w:r>
      <w:r w:rsidR="00F9227B" w:rsidRPr="0093037C">
        <w:rPr>
          <w:b/>
          <w:color w:val="000000" w:themeColor="text1"/>
        </w:rPr>
        <w:t xml:space="preserve">he </w:t>
      </w:r>
      <w:r w:rsidR="00F9227B">
        <w:rPr>
          <w:b/>
          <w:color w:val="000000" w:themeColor="text1"/>
        </w:rPr>
        <w:t xml:space="preserve">L3 delays by </w:t>
      </w:r>
      <w:r w:rsidR="00A30B21">
        <w:rPr>
          <w:b/>
          <w:color w:val="000000" w:themeColor="text1"/>
        </w:rPr>
        <w:t xml:space="preserve">adding </w:t>
      </w:r>
      <w:r w:rsidR="00F9227B">
        <w:rPr>
          <w:b/>
          <w:color w:val="000000" w:themeColor="text1"/>
        </w:rPr>
        <w:t xml:space="preserve">the number of MGs deactivated during the </w:t>
      </w:r>
      <w:r w:rsidR="007E254D">
        <w:rPr>
          <w:b/>
          <w:color w:val="000000" w:themeColor="text1"/>
        </w:rPr>
        <w:t>L3 period to the number of measurement samples</w:t>
      </w:r>
      <w:r w:rsidR="000F4A43">
        <w:rPr>
          <w:b/>
          <w:color w:val="000000" w:themeColor="text1"/>
        </w:rPr>
        <w:t>.</w:t>
      </w:r>
      <w:r w:rsidR="00B63AEF">
        <w:rPr>
          <w:b/>
          <w:color w:val="000000" w:themeColor="text1"/>
        </w:rPr>
        <w:t xml:space="preserve"> </w:t>
      </w:r>
    </w:p>
    <w:p w14:paraId="71F56D65" w14:textId="0B45513C" w:rsidR="00984467" w:rsidRDefault="00034152" w:rsidP="00426F27">
      <w:pPr>
        <w:rPr>
          <w:bCs/>
          <w:color w:val="000000" w:themeColor="text1"/>
        </w:rPr>
      </w:pPr>
      <w:r>
        <w:rPr>
          <w:bCs/>
          <w:color w:val="000000" w:themeColor="text1"/>
        </w:rPr>
        <w:t xml:space="preserve">As an example, </w:t>
      </w:r>
      <w:r w:rsidR="001D613D">
        <w:rPr>
          <w:bCs/>
          <w:color w:val="000000" w:themeColor="text1"/>
        </w:rPr>
        <w:t xml:space="preserve">Table </w:t>
      </w:r>
      <w:r w:rsidR="00E8297E">
        <w:rPr>
          <w:bCs/>
          <w:color w:val="000000" w:themeColor="text1"/>
        </w:rPr>
        <w:t>9.2.6.2</w:t>
      </w:r>
      <w:r w:rsidR="001A7D38">
        <w:rPr>
          <w:bCs/>
          <w:color w:val="000000" w:themeColor="text1"/>
        </w:rPr>
        <w:t>-1 can be modified as below:</w:t>
      </w:r>
      <w:r w:rsidR="001A7D38">
        <w:rPr>
          <w:bCs/>
          <w:color w:val="000000" w:themeColor="text1"/>
        </w:rPr>
        <w:br/>
      </w:r>
    </w:p>
    <w:p w14:paraId="5ACFF607" w14:textId="77777777" w:rsidR="001A7D38" w:rsidRPr="00B34784" w:rsidRDefault="001A7D38" w:rsidP="001A7D38">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A7D38" w:rsidRPr="00B34784" w14:paraId="0004BD1D" w14:textId="77777777" w:rsidTr="00B966C4">
        <w:trPr>
          <w:jc w:val="center"/>
        </w:trPr>
        <w:tc>
          <w:tcPr>
            <w:tcW w:w="1980" w:type="dxa"/>
            <w:tcBorders>
              <w:top w:val="single" w:sz="4" w:space="0" w:color="auto"/>
              <w:left w:val="single" w:sz="4" w:space="0" w:color="auto"/>
              <w:bottom w:val="single" w:sz="4" w:space="0" w:color="auto"/>
              <w:right w:val="single" w:sz="4" w:space="0" w:color="auto"/>
            </w:tcBorders>
            <w:hideMark/>
          </w:tcPr>
          <w:p w14:paraId="771E61C0" w14:textId="77777777" w:rsidR="001A7D38" w:rsidRPr="00B34784" w:rsidRDefault="001A7D38" w:rsidP="00B966C4">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3990293" w14:textId="77777777" w:rsidR="001A7D38" w:rsidRPr="00B34784" w:rsidRDefault="001A7D38" w:rsidP="00B966C4">
            <w:pPr>
              <w:pStyle w:val="TAH"/>
            </w:pPr>
            <w:r w:rsidRPr="00B34784">
              <w:t>T</w:t>
            </w:r>
            <w:r w:rsidRPr="00B34784">
              <w:rPr>
                <w:vertAlign w:val="subscript"/>
              </w:rPr>
              <w:t>PSS/SSS_sync_intra</w:t>
            </w:r>
          </w:p>
        </w:tc>
      </w:tr>
      <w:tr w:rsidR="001A7D38" w:rsidRPr="00B34784" w14:paraId="1E645D53" w14:textId="77777777" w:rsidTr="00B966C4">
        <w:trPr>
          <w:jc w:val="center"/>
        </w:trPr>
        <w:tc>
          <w:tcPr>
            <w:tcW w:w="1980" w:type="dxa"/>
            <w:tcBorders>
              <w:top w:val="single" w:sz="4" w:space="0" w:color="auto"/>
              <w:left w:val="single" w:sz="4" w:space="0" w:color="auto"/>
              <w:bottom w:val="single" w:sz="4" w:space="0" w:color="auto"/>
              <w:right w:val="single" w:sz="4" w:space="0" w:color="auto"/>
            </w:tcBorders>
            <w:hideMark/>
          </w:tcPr>
          <w:p w14:paraId="50D7B0BD" w14:textId="77777777" w:rsidR="001A7D38" w:rsidRPr="00B34784" w:rsidRDefault="001A7D38" w:rsidP="00B966C4">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7DA42D22" w14:textId="02031450" w:rsidR="001A7D38" w:rsidRPr="00B34784" w:rsidRDefault="001A7D38" w:rsidP="00B966C4">
            <w:pPr>
              <w:pStyle w:val="TAC"/>
            </w:pPr>
            <w:proofErr w:type="gramStart"/>
            <w:r w:rsidRPr="00B34784">
              <w:t>max(</w:t>
            </w:r>
            <w:proofErr w:type="gramEnd"/>
            <w:r w:rsidRPr="00B34784">
              <w:t>600</w:t>
            </w:r>
            <w:r>
              <w:t xml:space="preserve"> </w:t>
            </w:r>
            <w:r w:rsidRPr="00B34784">
              <w:t>ms,</w:t>
            </w:r>
            <w:r>
              <w:t xml:space="preserve"> </w:t>
            </w:r>
            <w:r w:rsidR="008977D0">
              <w:t>(</w:t>
            </w:r>
            <w:r w:rsidRPr="00B34784">
              <w:t>5</w:t>
            </w:r>
            <w:r w:rsidR="001B556C" w:rsidRPr="008977D0">
              <w:rPr>
                <w:color w:val="00B050"/>
              </w:rPr>
              <w:t>+</w:t>
            </w:r>
            <w:r w:rsidR="008977D0" w:rsidRPr="008977D0">
              <w:rPr>
                <w:color w:val="00B050"/>
              </w:rPr>
              <w:t>N</w:t>
            </w:r>
            <w:r w:rsidR="008977D0" w:rsidRPr="008977D0">
              <w:rPr>
                <w:color w:val="00B050"/>
                <w:vertAlign w:val="subscript"/>
              </w:rPr>
              <w:t>skip</w:t>
            </w:r>
            <w:r w:rsidR="008977D0">
              <w:t>)</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A7D38" w:rsidRPr="00B34784" w14:paraId="1AAE3685" w14:textId="77777777" w:rsidTr="00B966C4">
        <w:trPr>
          <w:jc w:val="center"/>
        </w:trPr>
        <w:tc>
          <w:tcPr>
            <w:tcW w:w="1980" w:type="dxa"/>
            <w:tcBorders>
              <w:top w:val="single" w:sz="4" w:space="0" w:color="auto"/>
              <w:left w:val="single" w:sz="4" w:space="0" w:color="auto"/>
              <w:bottom w:val="single" w:sz="4" w:space="0" w:color="auto"/>
              <w:right w:val="single" w:sz="4" w:space="0" w:color="auto"/>
            </w:tcBorders>
            <w:hideMark/>
          </w:tcPr>
          <w:p w14:paraId="0B5D0941" w14:textId="77777777" w:rsidR="001A7D38" w:rsidRPr="00B34784" w:rsidRDefault="001A7D38" w:rsidP="00B966C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B38BCC3" w14:textId="589E9A06" w:rsidR="001A7D38" w:rsidRPr="00B34784" w:rsidRDefault="001A7D38" w:rsidP="00B966C4">
            <w:pPr>
              <w:pStyle w:val="TAC"/>
              <w:rPr>
                <w:b/>
              </w:rPr>
            </w:pPr>
            <w:proofErr w:type="gramStart"/>
            <w:r w:rsidRPr="00B34784">
              <w:t>max(</w:t>
            </w:r>
            <w:proofErr w:type="gramEnd"/>
            <w:r w:rsidRPr="00B34784">
              <w:t>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008977D0">
              <w:t>(</w:t>
            </w:r>
            <w:r w:rsidR="008977D0" w:rsidRPr="00B34784">
              <w:t>5</w:t>
            </w:r>
            <w:r w:rsidR="008977D0" w:rsidRPr="008977D0">
              <w:rPr>
                <w:color w:val="00B050"/>
              </w:rPr>
              <w:t>+N</w:t>
            </w:r>
            <w:r w:rsidR="008977D0" w:rsidRPr="008977D0">
              <w:rPr>
                <w:color w:val="00B050"/>
                <w:vertAlign w:val="subscript"/>
              </w:rPr>
              <w:t>skip</w:t>
            </w:r>
            <w:r w:rsidR="008977D0">
              <w:t>)</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A7D38" w:rsidRPr="00B34784" w14:paraId="5F2F1850" w14:textId="77777777" w:rsidTr="00B966C4">
        <w:trPr>
          <w:jc w:val="center"/>
        </w:trPr>
        <w:tc>
          <w:tcPr>
            <w:tcW w:w="1980" w:type="dxa"/>
            <w:tcBorders>
              <w:top w:val="single" w:sz="4" w:space="0" w:color="auto"/>
              <w:left w:val="single" w:sz="4" w:space="0" w:color="auto"/>
              <w:bottom w:val="single" w:sz="4" w:space="0" w:color="auto"/>
              <w:right w:val="single" w:sz="4" w:space="0" w:color="auto"/>
            </w:tcBorders>
            <w:hideMark/>
          </w:tcPr>
          <w:p w14:paraId="286E5034" w14:textId="77777777" w:rsidR="001A7D38" w:rsidRPr="00B34784" w:rsidRDefault="001A7D38" w:rsidP="00B966C4">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2B07A419" w14:textId="0B71DF3E" w:rsidR="001A7D38" w:rsidRPr="00B34784" w:rsidRDefault="001A7D38" w:rsidP="00B966C4">
            <w:pPr>
              <w:pStyle w:val="TAC"/>
              <w:rPr>
                <w:b/>
              </w:rPr>
            </w:pPr>
            <w:r w:rsidRPr="00B34784">
              <w:t>Ceil(</w:t>
            </w:r>
            <w:r w:rsidR="008977D0">
              <w:t>(</w:t>
            </w:r>
            <w:r w:rsidR="008977D0" w:rsidRPr="00B34784">
              <w:t>5</w:t>
            </w:r>
            <w:r w:rsidR="008977D0" w:rsidRPr="008977D0">
              <w:rPr>
                <w:color w:val="00B050"/>
              </w:rPr>
              <w:t>+N</w:t>
            </w:r>
            <w:r w:rsidR="008977D0" w:rsidRPr="008977D0">
              <w:rPr>
                <w:color w:val="00B050"/>
                <w:vertAlign w:val="subscript"/>
              </w:rPr>
              <w:t>skip</w:t>
            </w:r>
            <w:r w:rsidR="008977D0">
              <w:t>)</w:t>
            </w:r>
            <w:r>
              <w:t xml:space="preserve"> </w:t>
            </w:r>
            <w:r w:rsidRPr="00B34784">
              <w:t>x</w:t>
            </w:r>
            <w:r>
              <w:t xml:space="preserve"> </w:t>
            </w:r>
            <w:proofErr w:type="gramStart"/>
            <w:r w:rsidRPr="00B34784">
              <w:rPr>
                <w:rFonts w:hint="eastAsia"/>
                <w:lang w:eastAsia="zh-CN"/>
              </w:rPr>
              <w:t>K</w:t>
            </w:r>
            <w:r w:rsidRPr="00B34784">
              <w:rPr>
                <w:rFonts w:hint="eastAsia"/>
                <w:vertAlign w:val="subscript"/>
                <w:lang w:eastAsia="zh-CN"/>
              </w:rPr>
              <w:t>gap</w:t>
            </w:r>
            <w:r>
              <w:t xml:space="preserve"> </w:t>
            </w:r>
            <w:r w:rsidRPr="00B34784">
              <w:t>)</w:t>
            </w:r>
            <w:proofErr w:type="gram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1C53EDA1" w14:textId="77777777" w:rsidR="001A7D38" w:rsidRDefault="001A7D38" w:rsidP="00426F27">
      <w:pPr>
        <w:rPr>
          <w:bCs/>
          <w:color w:val="000000" w:themeColor="text1"/>
        </w:rPr>
      </w:pPr>
    </w:p>
    <w:p w14:paraId="7CFA0F45" w14:textId="2D74D60B" w:rsidR="00015A2F" w:rsidRDefault="000B6EF3" w:rsidP="00426F27">
      <w:pPr>
        <w:rPr>
          <w:bCs/>
          <w:color w:val="000000" w:themeColor="text1"/>
        </w:rPr>
      </w:pPr>
      <w:r>
        <w:rPr>
          <w:bCs/>
          <w:color w:val="000000" w:themeColor="text1"/>
        </w:rPr>
        <w:t>Some companies also brought various conditions to enable the MG skipping. These included</w:t>
      </w:r>
      <w:r w:rsidR="00C30454">
        <w:rPr>
          <w:bCs/>
          <w:color w:val="000000" w:themeColor="text1"/>
        </w:rPr>
        <w:t xml:space="preserve"> – maximum number of MGs skipped during the measurement period</w:t>
      </w:r>
      <w:r w:rsidR="00F70DEE">
        <w:rPr>
          <w:bCs/>
          <w:color w:val="000000" w:themeColor="text1"/>
        </w:rPr>
        <w:t>, maximum acceptable time separation between two non-cancelled MGs etc.</w:t>
      </w:r>
      <w:r w:rsidR="00C9228C">
        <w:rPr>
          <w:bCs/>
          <w:color w:val="000000" w:themeColor="text1"/>
        </w:rPr>
        <w:t xml:space="preserve"> We</w:t>
      </w:r>
      <w:r w:rsidR="00174D00">
        <w:rPr>
          <w:bCs/>
          <w:color w:val="000000" w:themeColor="text1"/>
        </w:rPr>
        <w:t xml:space="preserve"> are okay to </w:t>
      </w:r>
      <w:r w:rsidR="00C9228C">
        <w:rPr>
          <w:bCs/>
          <w:color w:val="000000" w:themeColor="text1"/>
        </w:rPr>
        <w:t xml:space="preserve">specify the limit on maximum number of skipped </w:t>
      </w:r>
      <w:r w:rsidR="00CA1373">
        <w:rPr>
          <w:bCs/>
          <w:color w:val="000000" w:themeColor="text1"/>
        </w:rPr>
        <w:t xml:space="preserve">MGs within a measurement period and </w:t>
      </w:r>
      <w:r w:rsidR="008D0C39">
        <w:rPr>
          <w:bCs/>
          <w:color w:val="000000" w:themeColor="text1"/>
        </w:rPr>
        <w:t>maximum acceptable time separation between two non-cancelled MGs as a part of the requirements or indicate it to the network as UAI.</w:t>
      </w:r>
    </w:p>
    <w:p w14:paraId="78C16B56" w14:textId="5C76C8B6" w:rsidR="003D7A21" w:rsidRDefault="00254E0A" w:rsidP="00426F27">
      <w:pPr>
        <w:rPr>
          <w:bCs/>
          <w:color w:val="000000" w:themeColor="text1"/>
        </w:rPr>
      </w:pPr>
      <w:r>
        <w:rPr>
          <w:bCs/>
          <w:color w:val="000000" w:themeColor="text1"/>
        </w:rPr>
        <w:t xml:space="preserve">Regarding the applicability of the </w:t>
      </w:r>
      <w:r w:rsidR="002D6821">
        <w:rPr>
          <w:bCs/>
          <w:color w:val="000000" w:themeColor="text1"/>
        </w:rPr>
        <w:t xml:space="preserve">MG cancelation in CA, we think it’s straightforward that the </w:t>
      </w:r>
      <w:r w:rsidR="00746334">
        <w:rPr>
          <w:bCs/>
          <w:color w:val="000000" w:themeColor="text1"/>
        </w:rPr>
        <w:t xml:space="preserve">indication applies to </w:t>
      </w:r>
      <w:r w:rsidR="00550229">
        <w:rPr>
          <w:bCs/>
          <w:color w:val="000000" w:themeColor="text1"/>
        </w:rPr>
        <w:t xml:space="preserve">all the carriers in CA mode if the gap is per UE-gap, and the indication applies to all carriers </w:t>
      </w:r>
      <w:r w:rsidR="00A6156B">
        <w:rPr>
          <w:bCs/>
          <w:color w:val="000000" w:themeColor="text1"/>
        </w:rPr>
        <w:t>on the FR where the indication is received if the MG is per-FR.</w:t>
      </w:r>
    </w:p>
    <w:p w14:paraId="06E50927" w14:textId="767D71AB" w:rsidR="00F70DEE" w:rsidRPr="00DB6A53" w:rsidRDefault="00A6156B" w:rsidP="00426F27">
      <w:pPr>
        <w:rPr>
          <w:b/>
          <w:color w:val="000000" w:themeColor="text1"/>
        </w:rPr>
      </w:pPr>
      <w:r w:rsidRPr="0056524E">
        <w:rPr>
          <w:b/>
          <w:color w:val="000000" w:themeColor="text1"/>
        </w:rPr>
        <w:t xml:space="preserve">Proposal 4: </w:t>
      </w:r>
      <w:r w:rsidR="000D3098" w:rsidRPr="0056524E">
        <w:rPr>
          <w:b/>
          <w:color w:val="000000" w:themeColor="text1"/>
        </w:rPr>
        <w:t xml:space="preserve">If the UE </w:t>
      </w:r>
      <w:r w:rsidR="00FB3A1B" w:rsidRPr="0056524E">
        <w:rPr>
          <w:b/>
          <w:color w:val="000000" w:themeColor="text1"/>
        </w:rPr>
        <w:t xml:space="preserve">indicates the MG to be </w:t>
      </w:r>
      <w:r w:rsidR="000D3098" w:rsidRPr="0056524E">
        <w:rPr>
          <w:b/>
          <w:color w:val="000000" w:themeColor="text1"/>
        </w:rPr>
        <w:t xml:space="preserve">per-FR, the </w:t>
      </w:r>
      <w:r w:rsidR="00FB3A1B" w:rsidRPr="0056524E">
        <w:rPr>
          <w:b/>
          <w:color w:val="000000" w:themeColor="text1"/>
        </w:rPr>
        <w:t xml:space="preserve">MG </w:t>
      </w:r>
      <w:r w:rsidR="000D3098" w:rsidRPr="0056524E">
        <w:rPr>
          <w:b/>
          <w:color w:val="000000" w:themeColor="text1"/>
        </w:rPr>
        <w:t>skipping</w:t>
      </w:r>
      <w:r w:rsidR="0056524E" w:rsidRPr="0056524E">
        <w:rPr>
          <w:b/>
          <w:color w:val="000000" w:themeColor="text1"/>
        </w:rPr>
        <w:t xml:space="preserve"> indication</w:t>
      </w:r>
      <w:r w:rsidR="000D3098" w:rsidRPr="0056524E">
        <w:rPr>
          <w:b/>
          <w:color w:val="000000" w:themeColor="text1"/>
        </w:rPr>
        <w:t xml:space="preserve"> is only valid for the gap instance in the same FR with scheduled XR transmission</w:t>
      </w:r>
      <w:r w:rsidR="0056524E" w:rsidRPr="0056524E">
        <w:rPr>
          <w:b/>
          <w:color w:val="000000" w:themeColor="text1"/>
        </w:rPr>
        <w:t>, o</w:t>
      </w:r>
      <w:r w:rsidR="000D3098" w:rsidRPr="0056524E">
        <w:rPr>
          <w:b/>
          <w:color w:val="000000" w:themeColor="text1"/>
        </w:rPr>
        <w:t xml:space="preserve">therwise, </w:t>
      </w:r>
      <w:r w:rsidR="0056524E" w:rsidRPr="0056524E">
        <w:rPr>
          <w:b/>
          <w:color w:val="000000" w:themeColor="text1"/>
        </w:rPr>
        <w:t>the indication applies to all the carriers</w:t>
      </w:r>
      <w:r w:rsidR="000D3098" w:rsidRPr="0056524E">
        <w:rPr>
          <w:b/>
          <w:color w:val="000000" w:themeColor="text1"/>
        </w:rPr>
        <w:t>.</w:t>
      </w:r>
    </w:p>
    <w:p w14:paraId="7A98C740" w14:textId="7C8AA05F" w:rsidR="002A6BB3" w:rsidRDefault="00AC1830" w:rsidP="00360F01">
      <w:pPr>
        <w:pStyle w:val="Heading1"/>
        <w:rPr>
          <w:lang w:eastAsia="zh-CN"/>
        </w:rPr>
      </w:pPr>
      <w:r>
        <w:rPr>
          <w:lang w:eastAsia="zh-CN"/>
        </w:rPr>
        <w:t>Conclusion</w:t>
      </w:r>
    </w:p>
    <w:p w14:paraId="1A935822" w14:textId="006E2481" w:rsidR="00327226" w:rsidRPr="00304D24" w:rsidRDefault="00327226" w:rsidP="00327226">
      <w:pPr>
        <w:rPr>
          <w:b/>
          <w:color w:val="000000" w:themeColor="text1"/>
        </w:rPr>
      </w:pPr>
      <w:r w:rsidRPr="00304D24">
        <w:rPr>
          <w:b/>
          <w:color w:val="000000" w:themeColor="text1"/>
        </w:rPr>
        <w:t xml:space="preserve">Proposal 1: In addition to the dynamic indication scheme to deactivate MGs as agreed by RAN1, support semi-static schemes such as RRC and MAC-CE based signaling as well. </w:t>
      </w:r>
    </w:p>
    <w:p w14:paraId="470324B5" w14:textId="77777777" w:rsidR="000A14E4" w:rsidRDefault="000A14E4" w:rsidP="000A14E4">
      <w:pPr>
        <w:rPr>
          <w:b/>
          <w:bCs/>
        </w:rPr>
      </w:pPr>
      <w:r w:rsidRPr="004322DC">
        <w:rPr>
          <w:b/>
          <w:bCs/>
        </w:rPr>
        <w:t xml:space="preserve">Proposal </w:t>
      </w:r>
      <w:r>
        <w:rPr>
          <w:b/>
          <w:bCs/>
        </w:rPr>
        <w:t>2</w:t>
      </w:r>
      <w:r w:rsidRPr="004322DC">
        <w:rPr>
          <w:b/>
          <w:bCs/>
        </w:rPr>
        <w:t xml:space="preserve">: </w:t>
      </w:r>
      <w:r>
        <w:rPr>
          <w:b/>
          <w:bCs/>
        </w:rPr>
        <w:t xml:space="preserve">The support of Option 2 as agreed by RAN1 is conditioned upon the arrival of such DCI atleast X ms before the MG occasion, </w:t>
      </w:r>
      <w:proofErr w:type="gramStart"/>
      <w:r>
        <w:rPr>
          <w:b/>
          <w:bCs/>
        </w:rPr>
        <w:t>where</w:t>
      </w:r>
      <w:proofErr w:type="gramEnd"/>
      <w:r>
        <w:rPr>
          <w:b/>
          <w:bCs/>
        </w:rPr>
        <w:t xml:space="preserve"> </w:t>
      </w:r>
    </w:p>
    <w:p w14:paraId="5EA4117D" w14:textId="77777777" w:rsidR="000A14E4" w:rsidRPr="000A14E4" w:rsidRDefault="000A14E4" w:rsidP="000A14E4">
      <w:pPr>
        <w:pStyle w:val="ListParagraph"/>
        <w:numPr>
          <w:ilvl w:val="0"/>
          <w:numId w:val="29"/>
        </w:numPr>
        <w:rPr>
          <w:rFonts w:eastAsia="MS Mincho"/>
          <w:b/>
          <w:bCs/>
          <w:sz w:val="20"/>
          <w:szCs w:val="20"/>
          <w:lang w:val="en-GB"/>
        </w:rPr>
      </w:pPr>
      <w:r w:rsidRPr="000A14E4">
        <w:rPr>
          <w:rFonts w:eastAsia="MS Mincho"/>
          <w:b/>
          <w:bCs/>
          <w:sz w:val="20"/>
          <w:szCs w:val="20"/>
          <w:lang w:val="en-GB"/>
        </w:rPr>
        <w:t>X=5ms as baseline and X=3ms as optional UE capability.</w:t>
      </w:r>
    </w:p>
    <w:p w14:paraId="573FCB2A" w14:textId="77777777" w:rsidR="000A14E4" w:rsidRPr="000A14E4" w:rsidRDefault="000A14E4" w:rsidP="000A14E4">
      <w:pPr>
        <w:pStyle w:val="ListParagraph"/>
        <w:numPr>
          <w:ilvl w:val="0"/>
          <w:numId w:val="29"/>
        </w:numPr>
        <w:rPr>
          <w:rFonts w:eastAsia="MS Mincho"/>
          <w:b/>
          <w:bCs/>
          <w:sz w:val="20"/>
          <w:szCs w:val="20"/>
          <w:lang w:val="en-GB"/>
        </w:rPr>
      </w:pPr>
      <w:r>
        <w:rPr>
          <w:rFonts w:eastAsia="MS Mincho"/>
          <w:b/>
          <w:bCs/>
          <w:sz w:val="20"/>
          <w:szCs w:val="20"/>
          <w:lang w:val="en-GB"/>
        </w:rPr>
        <w:t xml:space="preserve">[RAN1 agreement] </w:t>
      </w:r>
      <w:r w:rsidRPr="000A14E4">
        <w:rPr>
          <w:rFonts w:eastAsia="MS Mincho"/>
          <w:b/>
          <w:bCs/>
          <w:sz w:val="20"/>
          <w:szCs w:val="20"/>
          <w:lang w:val="en-GB"/>
        </w:rPr>
        <w:t>Option 2: For explicit indication by DCI, bit value equal to “0” means UE behaviour for the corresponding gap/restriction occasion is as per legacy behaviour.</w:t>
      </w:r>
    </w:p>
    <w:p w14:paraId="4FF5F228" w14:textId="77777777" w:rsidR="000A14E4" w:rsidRDefault="000A14E4" w:rsidP="00117745">
      <w:pPr>
        <w:rPr>
          <w:b/>
          <w:bCs/>
        </w:rPr>
      </w:pPr>
    </w:p>
    <w:p w14:paraId="783308AB" w14:textId="77777777" w:rsidR="0056524E" w:rsidRDefault="0056524E" w:rsidP="0056524E">
      <w:pPr>
        <w:rPr>
          <w:b/>
          <w:color w:val="000000" w:themeColor="text1"/>
        </w:rPr>
      </w:pPr>
      <w:r>
        <w:rPr>
          <w:b/>
          <w:color w:val="000000" w:themeColor="text1"/>
        </w:rPr>
        <w:t>Proposal 3: For DCI based dynamic indication, RAN4 to extend t</w:t>
      </w:r>
      <w:r w:rsidRPr="0093037C">
        <w:rPr>
          <w:b/>
          <w:color w:val="000000" w:themeColor="text1"/>
        </w:rPr>
        <w:t xml:space="preserve">he </w:t>
      </w:r>
      <w:r>
        <w:rPr>
          <w:b/>
          <w:color w:val="000000" w:themeColor="text1"/>
        </w:rPr>
        <w:t xml:space="preserve">L3 delays by adding the number of MGs deactivated during the L3 period to the number of measurement samples. </w:t>
      </w:r>
    </w:p>
    <w:p w14:paraId="013CA80F" w14:textId="6ABD9025" w:rsidR="0056524E" w:rsidRDefault="0056524E" w:rsidP="0056524E">
      <w:pPr>
        <w:rPr>
          <w:b/>
          <w:color w:val="000000" w:themeColor="text1"/>
        </w:rPr>
      </w:pPr>
      <w:r w:rsidRPr="0056524E">
        <w:rPr>
          <w:b/>
          <w:color w:val="000000" w:themeColor="text1"/>
        </w:rPr>
        <w:t>Proposal 4: If the UE indicates the MG to be per-FR, the MG skipping indication is only valid for the gap instance in the same FR with scheduled XR transmission, otherwise, the indication applies to all the carriers.</w:t>
      </w:r>
    </w:p>
    <w:p w14:paraId="13FCE315" w14:textId="77777777" w:rsidR="00DA25EC" w:rsidRDefault="00DA25EC" w:rsidP="00360F01">
      <w:pPr>
        <w:pStyle w:val="Heading1"/>
        <w:numPr>
          <w:ilvl w:val="0"/>
          <w:numId w:val="0"/>
        </w:numPr>
        <w:rPr>
          <w:lang w:val="en-US"/>
        </w:rPr>
      </w:pPr>
      <w:r>
        <w:rPr>
          <w:lang w:val="en-US"/>
        </w:rPr>
        <w:t>References</w:t>
      </w:r>
    </w:p>
    <w:p w14:paraId="54C60DDB" w14:textId="4F780AF7"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R4-2502700</w:t>
      </w:r>
      <w:r>
        <w:rPr>
          <w:lang w:val="en-US"/>
        </w:rPr>
        <w:t>,</w:t>
      </w:r>
      <w:r w:rsidRPr="007B0422">
        <w:rPr>
          <w:lang w:val="en-US"/>
        </w:rPr>
        <w:t xml:space="preserve"> </w:t>
      </w:r>
      <w:r>
        <w:rPr>
          <w:lang w:val="en-US"/>
        </w:rPr>
        <w:t>“</w:t>
      </w:r>
      <w:r w:rsidR="00AA6C78" w:rsidRPr="00AA6C78">
        <w:rPr>
          <w:lang w:val="en-US"/>
        </w:rPr>
        <w:t>WF on RRM requirements for XR_Ph3</w:t>
      </w:r>
      <w:r>
        <w:rPr>
          <w:lang w:val="en-US"/>
        </w:rPr>
        <w:t xml:space="preserve">”, </w:t>
      </w:r>
      <w:r w:rsidR="0025123A">
        <w:rPr>
          <w:lang w:val="en-US"/>
        </w:rPr>
        <w:t>Nokia</w:t>
      </w:r>
      <w:r>
        <w:rPr>
          <w:lang w:val="en-US"/>
        </w:rPr>
        <w:t xml:space="preserve">, </w:t>
      </w:r>
      <w:r w:rsidRPr="00261792">
        <w:rPr>
          <w:lang w:val="en-US"/>
        </w:rPr>
        <w:t>RAN</w:t>
      </w:r>
      <w:r w:rsidR="005A3500">
        <w:rPr>
          <w:lang w:val="en-US"/>
        </w:rPr>
        <w:t>4</w:t>
      </w:r>
      <w:r w:rsidRPr="00261792">
        <w:rPr>
          <w:lang w:val="en-US"/>
        </w:rPr>
        <w:t>#1</w:t>
      </w:r>
      <w:r w:rsidR="005A3500">
        <w:rPr>
          <w:lang w:val="en-US"/>
        </w:rPr>
        <w:t>1</w:t>
      </w:r>
      <w:r w:rsidR="00AA6C78">
        <w:rPr>
          <w:lang w:val="en-US"/>
        </w:rPr>
        <w:t>4</w:t>
      </w: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ADD20" w14:textId="77777777" w:rsidR="00742DBF" w:rsidRDefault="00742DBF">
      <w:r>
        <w:separator/>
      </w:r>
    </w:p>
  </w:endnote>
  <w:endnote w:type="continuationSeparator" w:id="0">
    <w:p w14:paraId="20B37759" w14:textId="77777777" w:rsidR="00742DBF" w:rsidRDefault="00742DBF">
      <w:r>
        <w:continuationSeparator/>
      </w:r>
    </w:p>
  </w:endnote>
  <w:endnote w:type="continuationNotice" w:id="1">
    <w:p w14:paraId="48528CFF" w14:textId="77777777" w:rsidR="00742DBF" w:rsidRDefault="00742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6EF05" w14:textId="77777777" w:rsidR="00742DBF" w:rsidRDefault="00742DBF">
      <w:r>
        <w:separator/>
      </w:r>
    </w:p>
  </w:footnote>
  <w:footnote w:type="continuationSeparator" w:id="0">
    <w:p w14:paraId="192770AD" w14:textId="77777777" w:rsidR="00742DBF" w:rsidRDefault="00742DBF">
      <w:r>
        <w:continuationSeparator/>
      </w:r>
    </w:p>
  </w:footnote>
  <w:footnote w:type="continuationNotice" w:id="1">
    <w:p w14:paraId="21F86CC8" w14:textId="77777777" w:rsidR="00742DBF" w:rsidRDefault="00742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2"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1"/>
  </w:num>
  <w:num w:numId="2" w16cid:durableId="1702169165">
    <w:abstractNumId w:val="21"/>
  </w:num>
  <w:num w:numId="3" w16cid:durableId="896598194">
    <w:abstractNumId w:val="28"/>
  </w:num>
  <w:num w:numId="4" w16cid:durableId="1065757783">
    <w:abstractNumId w:val="6"/>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2"/>
  </w:num>
  <w:num w:numId="8" w16cid:durableId="1230581766">
    <w:abstractNumId w:val="15"/>
  </w:num>
  <w:num w:numId="9" w16cid:durableId="266666612">
    <w:abstractNumId w:val="18"/>
  </w:num>
  <w:num w:numId="10" w16cid:durableId="1603030076">
    <w:abstractNumId w:val="19"/>
  </w:num>
  <w:num w:numId="11" w16cid:durableId="472792961">
    <w:abstractNumId w:val="20"/>
  </w:num>
  <w:num w:numId="12" w16cid:durableId="1585843583">
    <w:abstractNumId w:val="0"/>
  </w:num>
  <w:num w:numId="13" w16cid:durableId="1922985393">
    <w:abstractNumId w:val="27"/>
  </w:num>
  <w:num w:numId="14" w16cid:durableId="1941915425">
    <w:abstractNumId w:val="26"/>
  </w:num>
  <w:num w:numId="15" w16cid:durableId="524372425">
    <w:abstractNumId w:val="5"/>
  </w:num>
  <w:num w:numId="16" w16cid:durableId="1433237244">
    <w:abstractNumId w:val="24"/>
  </w:num>
  <w:num w:numId="17" w16cid:durableId="12735130">
    <w:abstractNumId w:val="10"/>
  </w:num>
  <w:num w:numId="18" w16cid:durableId="1022626817">
    <w:abstractNumId w:val="9"/>
  </w:num>
  <w:num w:numId="19" w16cid:durableId="159850087">
    <w:abstractNumId w:val="12"/>
  </w:num>
  <w:num w:numId="20" w16cid:durableId="656298651">
    <w:abstractNumId w:val="16"/>
  </w:num>
  <w:num w:numId="21" w16cid:durableId="799223558">
    <w:abstractNumId w:val="8"/>
  </w:num>
  <w:num w:numId="22" w16cid:durableId="11884958">
    <w:abstractNumId w:val="13"/>
  </w:num>
  <w:num w:numId="23" w16cid:durableId="80181213">
    <w:abstractNumId w:val="7"/>
  </w:num>
  <w:num w:numId="24" w16cid:durableId="129060920">
    <w:abstractNumId w:val="14"/>
  </w:num>
  <w:num w:numId="25" w16cid:durableId="2039155221">
    <w:abstractNumId w:val="25"/>
  </w:num>
  <w:num w:numId="26" w16cid:durableId="1222864409">
    <w:abstractNumId w:val="17"/>
  </w:num>
  <w:num w:numId="27" w16cid:durableId="576090162">
    <w:abstractNumId w:val="3"/>
  </w:num>
  <w:num w:numId="28" w16cid:durableId="2120566095">
    <w:abstractNumId w:val="4"/>
  </w:num>
  <w:num w:numId="29" w16cid:durableId="182604778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6A8"/>
    <w:rsid w:val="001B49C8"/>
    <w:rsid w:val="001B4D69"/>
    <w:rsid w:val="001B4DD5"/>
    <w:rsid w:val="001B53A9"/>
    <w:rsid w:val="001B556C"/>
    <w:rsid w:val="001B5847"/>
    <w:rsid w:val="001B590B"/>
    <w:rsid w:val="001B61DE"/>
    <w:rsid w:val="001B6387"/>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2187"/>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AA1"/>
    <w:rsid w:val="00441C17"/>
    <w:rsid w:val="00441F42"/>
    <w:rsid w:val="004421D0"/>
    <w:rsid w:val="004426CD"/>
    <w:rsid w:val="00442715"/>
    <w:rsid w:val="00442E6A"/>
    <w:rsid w:val="00442EAE"/>
    <w:rsid w:val="0044397D"/>
    <w:rsid w:val="00443A6F"/>
    <w:rsid w:val="00443B1A"/>
    <w:rsid w:val="00443FB8"/>
    <w:rsid w:val="00443FD4"/>
    <w:rsid w:val="00443FDE"/>
    <w:rsid w:val="004445A4"/>
    <w:rsid w:val="00444627"/>
    <w:rsid w:val="00444692"/>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7EF"/>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1D3"/>
    <w:rsid w:val="00515777"/>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229"/>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2E9B"/>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24E"/>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7D5"/>
    <w:rsid w:val="006E198F"/>
    <w:rsid w:val="006E1B28"/>
    <w:rsid w:val="006E1C30"/>
    <w:rsid w:val="006E1D6C"/>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44E"/>
    <w:rsid w:val="00715912"/>
    <w:rsid w:val="00715F4E"/>
    <w:rsid w:val="00716001"/>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6F23"/>
    <w:rsid w:val="007870F8"/>
    <w:rsid w:val="007871DC"/>
    <w:rsid w:val="007872D2"/>
    <w:rsid w:val="00787628"/>
    <w:rsid w:val="00787768"/>
    <w:rsid w:val="00790042"/>
    <w:rsid w:val="007902FF"/>
    <w:rsid w:val="00790623"/>
    <w:rsid w:val="00790663"/>
    <w:rsid w:val="0079066A"/>
    <w:rsid w:val="00790B6A"/>
    <w:rsid w:val="00790D14"/>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CF"/>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64B"/>
    <w:rsid w:val="008B272E"/>
    <w:rsid w:val="008B2893"/>
    <w:rsid w:val="008B290E"/>
    <w:rsid w:val="008B2B0E"/>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68"/>
    <w:rsid w:val="008C7B98"/>
    <w:rsid w:val="008D02CD"/>
    <w:rsid w:val="008D05D9"/>
    <w:rsid w:val="008D0890"/>
    <w:rsid w:val="008D0B4D"/>
    <w:rsid w:val="008D0C39"/>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2F96"/>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3BEE"/>
    <w:rsid w:val="00C24481"/>
    <w:rsid w:val="00C24825"/>
    <w:rsid w:val="00C24830"/>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68"/>
    <w:rsid w:val="00C278C6"/>
    <w:rsid w:val="00C278D5"/>
    <w:rsid w:val="00C27B12"/>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4DC"/>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49"/>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86D"/>
    <w:rsid w:val="00E9629D"/>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24A"/>
    <w:rsid w:val="00EC03C9"/>
    <w:rsid w:val="00EC0786"/>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18212</TotalTime>
  <Pages>2</Pages>
  <Words>854</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2706</cp:revision>
  <cp:lastPrinted>2009-04-22T21:01:00Z</cp:lastPrinted>
  <dcterms:created xsi:type="dcterms:W3CDTF">2020-11-11T22:16:00Z</dcterms:created>
  <dcterms:modified xsi:type="dcterms:W3CDTF">2025-03-28T22:05:00Z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